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30" w:rsidRPr="00296930" w:rsidRDefault="00296930" w:rsidP="00ED646F">
      <w:pPr>
        <w:spacing w:line="360" w:lineRule="auto"/>
        <w:ind w:left="1416" w:firstLine="708"/>
        <w:jc w:val="both"/>
        <w:rPr>
          <w:b/>
          <w:sz w:val="28"/>
          <w:szCs w:val="28"/>
        </w:rPr>
      </w:pPr>
      <w:r w:rsidRPr="00296930">
        <w:rPr>
          <w:b/>
          <w:sz w:val="28"/>
          <w:szCs w:val="28"/>
        </w:rPr>
        <w:t xml:space="preserve">   Избирательные фонды кандидатов</w:t>
      </w:r>
    </w:p>
    <w:p w:rsidR="00296930" w:rsidRDefault="00296930" w:rsidP="00296930">
      <w:pPr>
        <w:spacing w:line="360" w:lineRule="auto"/>
        <w:ind w:firstLine="708"/>
        <w:jc w:val="both"/>
        <w:rPr>
          <w:sz w:val="28"/>
          <w:szCs w:val="28"/>
        </w:rPr>
      </w:pPr>
      <w:r>
        <w:rPr>
          <w:sz w:val="28"/>
          <w:szCs w:val="28"/>
        </w:rPr>
        <w:t xml:space="preserve"> Каждый кандидат на должность главы поселения обязан сформировать избирательный фонд,  из средств которого будут финансироваться все расходы, связанные с выборной  кампанией. Нужно отметить, что предельный размер расходования средств избирательного фонд  для кандидатов на должность глав </w:t>
      </w:r>
      <w:proofErr w:type="spellStart"/>
      <w:r>
        <w:rPr>
          <w:sz w:val="28"/>
          <w:szCs w:val="28"/>
        </w:rPr>
        <w:t>Каменоломненского</w:t>
      </w:r>
      <w:proofErr w:type="spellEnd"/>
      <w:r>
        <w:rPr>
          <w:sz w:val="28"/>
          <w:szCs w:val="28"/>
        </w:rPr>
        <w:t xml:space="preserve"> и </w:t>
      </w:r>
      <w:proofErr w:type="spellStart"/>
      <w:r>
        <w:rPr>
          <w:sz w:val="28"/>
          <w:szCs w:val="28"/>
        </w:rPr>
        <w:t>Кривянского</w:t>
      </w:r>
      <w:proofErr w:type="spellEnd"/>
      <w:r>
        <w:rPr>
          <w:sz w:val="28"/>
          <w:szCs w:val="28"/>
        </w:rPr>
        <w:t xml:space="preserve"> поселений  составляет 1 000 </w:t>
      </w:r>
      <w:proofErr w:type="spellStart"/>
      <w:r>
        <w:rPr>
          <w:sz w:val="28"/>
          <w:szCs w:val="28"/>
        </w:rPr>
        <w:t>000</w:t>
      </w:r>
      <w:proofErr w:type="spellEnd"/>
      <w:r>
        <w:rPr>
          <w:sz w:val="28"/>
          <w:szCs w:val="28"/>
        </w:rPr>
        <w:t xml:space="preserve"> рублей, для остальных поселений района в которых будут проводиться выборы глав – 750 000 рублей. Для кандидатов в депутаты собраний депутатов поселений района формирование избирательного фонда не обязательно, но при условии, что финансирование кандидатом своей избирательной кампании не производится и он письменно уведомил об этом территориальную избирательную комиссию. Если же кандидат в депутаты решил создавать свой избирательный фонд, то предельный размер расходования средств избирательного фонд  для кандидатов в депутаты Собраний депутатов </w:t>
      </w:r>
      <w:proofErr w:type="spellStart"/>
      <w:r>
        <w:rPr>
          <w:sz w:val="28"/>
          <w:szCs w:val="28"/>
        </w:rPr>
        <w:t>Каменоломненского</w:t>
      </w:r>
      <w:proofErr w:type="spellEnd"/>
      <w:r>
        <w:rPr>
          <w:sz w:val="28"/>
          <w:szCs w:val="28"/>
        </w:rPr>
        <w:t xml:space="preserve"> и </w:t>
      </w:r>
      <w:proofErr w:type="spellStart"/>
      <w:r>
        <w:rPr>
          <w:sz w:val="28"/>
          <w:szCs w:val="28"/>
        </w:rPr>
        <w:t>Кривянского</w:t>
      </w:r>
      <w:proofErr w:type="spellEnd"/>
      <w:r>
        <w:rPr>
          <w:sz w:val="28"/>
          <w:szCs w:val="28"/>
        </w:rPr>
        <w:t xml:space="preserve"> поселений  составляет  750 000 рублей, а для всех остальных поселений района 600 000 рублей. Формирование избирательного фонда может осуществляться за счет средств выделенных кандидату выдвинувшим его избирательным объединением (политическая партия, общественная организация), собственных средств кандидата, пожертвований юридических лиц и физических лиц.</w:t>
      </w:r>
    </w:p>
    <w:p w:rsidR="00296930" w:rsidRDefault="00296930" w:rsidP="00296930">
      <w:pPr>
        <w:spacing w:line="360" w:lineRule="auto"/>
        <w:jc w:val="both"/>
        <w:rPr>
          <w:sz w:val="28"/>
          <w:szCs w:val="28"/>
        </w:rPr>
      </w:pPr>
      <w:r>
        <w:rPr>
          <w:sz w:val="28"/>
          <w:szCs w:val="28"/>
        </w:rPr>
        <w:t xml:space="preserve">    </w:t>
      </w:r>
      <w:r>
        <w:rPr>
          <w:sz w:val="28"/>
          <w:szCs w:val="28"/>
        </w:rPr>
        <w:tab/>
        <w:t>В избирательный фонд кандидата на должность главы поселения избирательное объединение может выделить в совокупности – до 60 тысяч рублей; юридические лица могут пожертвовать  до 40 тысяч рублей; физические лица могут пожертвовать до 3 тысяч рублей; сам кандидат может внести себе на счет до 30 тысяч рублей.</w:t>
      </w:r>
    </w:p>
    <w:p w:rsidR="00296930" w:rsidRDefault="00296930" w:rsidP="00296930">
      <w:pPr>
        <w:spacing w:line="360" w:lineRule="auto"/>
        <w:jc w:val="both"/>
        <w:rPr>
          <w:sz w:val="28"/>
          <w:szCs w:val="28"/>
        </w:rPr>
      </w:pPr>
      <w:r>
        <w:rPr>
          <w:sz w:val="28"/>
          <w:szCs w:val="28"/>
        </w:rPr>
        <w:t xml:space="preserve">    </w:t>
      </w:r>
      <w:r>
        <w:rPr>
          <w:sz w:val="28"/>
          <w:szCs w:val="28"/>
        </w:rPr>
        <w:tab/>
        <w:t xml:space="preserve">В избирательный фонд кандидата в депутаты Собрания депутатов избирательное объединение может выделить в совокупности – до 30 тысяч рублей; юридические лица могут пожертвовать  до 20 тысяч рублей; </w:t>
      </w:r>
      <w:r>
        <w:rPr>
          <w:sz w:val="28"/>
          <w:szCs w:val="28"/>
        </w:rPr>
        <w:lastRenderedPageBreak/>
        <w:t>физические лица могут пожертвовать до 3 тысяч рублей; сам кандидат может внести себе на счет до 15 тысяч рублей.</w:t>
      </w:r>
    </w:p>
    <w:p w:rsidR="00296930" w:rsidRDefault="00296930" w:rsidP="00296930">
      <w:pPr>
        <w:spacing w:line="360" w:lineRule="auto"/>
        <w:jc w:val="both"/>
        <w:rPr>
          <w:sz w:val="28"/>
          <w:szCs w:val="28"/>
        </w:rPr>
      </w:pPr>
      <w:r>
        <w:rPr>
          <w:sz w:val="28"/>
          <w:szCs w:val="28"/>
        </w:rPr>
        <w:t xml:space="preserve">     </w:t>
      </w:r>
      <w:r>
        <w:rPr>
          <w:sz w:val="28"/>
          <w:szCs w:val="28"/>
        </w:rPr>
        <w:tab/>
        <w:t>Нужно отметить, что законами о выборах определен перечень организаций и лиц, которым запрещено вносить пожертвования в избирательные фонды кандидатов. Чтобы не возвращать пожертвования обратно кандидатам необходимо изучить нормы закона, связанные с этим вопросом. При территориальной избирательной комиссии создана контрольно-ревизионная служба, которая будет отслеживать движение средств на избирательных счетах кандидатов. Необходимо отметить, что все расчеты с юридическими лицами могут осуществляться только в безналичном порядке. С физическими лицами должен быть заключен договор на оказание определенного вида услуг кандидату (например: сбор подписей в его поддержку и т.д.), и затем по акту выполненных работ могут быть выплачены наличные денежные средства. Хочется отметить, что все затраты кандидаты должны осуществлять через свой избирательный фонд. Кандидат вправе возвратить жертвователю любое пожертвование в избирательный фонд за исключением пожертвования, внесенным анонимным жертвователем. Пожертвование, внесенное анонимным жертвователем, подлежит перечислению в доход местного бюджета. Кандидат обязан представить в территориальную избирательную комиссию два финансовых отчета о размере своего избирательного фонда, обо всех источниках его формирования, а также обо всех расходах, произведенных за счет сре</w:t>
      </w:r>
      <w:proofErr w:type="gramStart"/>
      <w:r>
        <w:rPr>
          <w:sz w:val="28"/>
          <w:szCs w:val="28"/>
        </w:rPr>
        <w:t>дств св</w:t>
      </w:r>
      <w:proofErr w:type="gramEnd"/>
      <w:r>
        <w:rPr>
          <w:sz w:val="28"/>
          <w:szCs w:val="28"/>
        </w:rPr>
        <w:t>оего избирательного фонда.</w:t>
      </w:r>
    </w:p>
    <w:p w:rsidR="00296930" w:rsidRDefault="00296930" w:rsidP="00ED646F">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Первый финансовый отчет предоставляется одновременно со сдачей документов на регистрацию, а итоговый не позднее чем через 30 дней со дня официального опубликования общих данных о результатах выборов. К итоговому финансовому отчету прилагаются первичные финансовые документы, подтверждающие поступление средств в избирательный фонд и их расходование. </w:t>
      </w:r>
    </w:p>
    <w:p w:rsidR="00296930" w:rsidRDefault="00296930" w:rsidP="0029693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территориальной</w:t>
      </w:r>
      <w:proofErr w:type="gramEnd"/>
    </w:p>
    <w:p w:rsidR="001002D6" w:rsidRDefault="00296930" w:rsidP="00ED646F">
      <w:pPr>
        <w:pStyle w:val="ConsPlusNormal"/>
        <w:widowControl/>
        <w:ind w:firstLine="540"/>
        <w:jc w:val="both"/>
      </w:pPr>
      <w:r>
        <w:rPr>
          <w:rFonts w:ascii="Times New Roman" w:hAnsi="Times New Roman" w:cs="Times New Roman"/>
          <w:sz w:val="28"/>
          <w:szCs w:val="28"/>
        </w:rPr>
        <w:t xml:space="preserve">избирательной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Ю.А. </w:t>
      </w:r>
      <w:proofErr w:type="gramStart"/>
      <w:r>
        <w:rPr>
          <w:rFonts w:ascii="Times New Roman" w:hAnsi="Times New Roman" w:cs="Times New Roman"/>
          <w:sz w:val="28"/>
          <w:szCs w:val="28"/>
        </w:rPr>
        <w:t>Точёный</w:t>
      </w:r>
      <w:proofErr w:type="gramEnd"/>
    </w:p>
    <w:sectPr w:rsidR="001002D6" w:rsidSect="00100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930"/>
    <w:rsid w:val="001002D6"/>
    <w:rsid w:val="00296930"/>
    <w:rsid w:val="00A029D1"/>
    <w:rsid w:val="00A66776"/>
    <w:rsid w:val="00E7179B"/>
    <w:rsid w:val="00E811EB"/>
    <w:rsid w:val="00ED6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9D1"/>
    <w:pPr>
      <w:keepNext/>
      <w:outlineLvl w:val="0"/>
    </w:pPr>
    <w:rPr>
      <w:sz w:val="32"/>
      <w:szCs w:val="20"/>
    </w:rPr>
  </w:style>
  <w:style w:type="paragraph" w:styleId="2">
    <w:name w:val="heading 2"/>
    <w:basedOn w:val="a"/>
    <w:next w:val="a"/>
    <w:link w:val="20"/>
    <w:semiHidden/>
    <w:unhideWhenUsed/>
    <w:qFormat/>
    <w:rsid w:val="00A029D1"/>
    <w:pPr>
      <w:keepNext/>
      <w:outlineLvl w:val="1"/>
    </w:pPr>
    <w:rPr>
      <w:sz w:val="32"/>
      <w:szCs w:val="20"/>
      <w:u w:val="single"/>
    </w:rPr>
  </w:style>
  <w:style w:type="paragraph" w:styleId="3">
    <w:name w:val="heading 3"/>
    <w:basedOn w:val="a"/>
    <w:next w:val="a"/>
    <w:link w:val="30"/>
    <w:semiHidden/>
    <w:unhideWhenUsed/>
    <w:qFormat/>
    <w:rsid w:val="00A029D1"/>
    <w:pPr>
      <w:keepNext/>
      <w:outlineLvl w:val="2"/>
    </w:pPr>
    <w:rPr>
      <w:sz w:val="28"/>
      <w:szCs w:val="20"/>
    </w:rPr>
  </w:style>
  <w:style w:type="paragraph" w:styleId="5">
    <w:name w:val="heading 5"/>
    <w:basedOn w:val="a"/>
    <w:next w:val="a"/>
    <w:link w:val="50"/>
    <w:unhideWhenUsed/>
    <w:qFormat/>
    <w:rsid w:val="00A029D1"/>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9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029D1"/>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A029D1"/>
    <w:rPr>
      <w:rFonts w:ascii="Times New Roman" w:eastAsia="Times New Roman" w:hAnsi="Times New Roman" w:cs="Times New Roman"/>
      <w:sz w:val="32"/>
      <w:szCs w:val="20"/>
      <w:u w:val="single"/>
      <w:lang w:eastAsia="ru-RU"/>
    </w:rPr>
  </w:style>
  <w:style w:type="character" w:customStyle="1" w:styleId="30">
    <w:name w:val="Заголовок 3 Знак"/>
    <w:basedOn w:val="a0"/>
    <w:link w:val="3"/>
    <w:semiHidden/>
    <w:rsid w:val="00A029D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A029D1"/>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TIZB</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Spec3</dc:creator>
  <cp:keywords/>
  <dc:description/>
  <cp:lastModifiedBy>Spec3</cp:lastModifiedBy>
  <cp:revision>5</cp:revision>
  <dcterms:created xsi:type="dcterms:W3CDTF">2012-08-09T14:59:00Z</dcterms:created>
  <dcterms:modified xsi:type="dcterms:W3CDTF">2012-08-29T07:36:00Z</dcterms:modified>
</cp:coreProperties>
</file>